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590FC5">
        <w:rPr>
          <w:b w:val="0"/>
          <w:sz w:val="24"/>
          <w:szCs w:val="24"/>
        </w:rPr>
        <w:t>10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2F20D0" w:rsidRDefault="002F20D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М.А.В.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A547BF">
        <w:t>2</w:t>
      </w:r>
      <w:r w:rsidR="00E31B89">
        <w:t xml:space="preserve">3 </w:t>
      </w:r>
      <w:r w:rsidR="00CA4EE5">
        <w:t>августа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E31B89">
        <w:rPr>
          <w:color w:val="auto"/>
          <w:szCs w:val="24"/>
        </w:rPr>
        <w:t>Рыбакова С.А.</w:t>
      </w:r>
      <w:r>
        <w:rPr>
          <w:color w:val="auto"/>
          <w:szCs w:val="24"/>
        </w:rPr>
        <w:t>,</w:t>
      </w:r>
    </w:p>
    <w:p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CE5E74">
        <w:rPr>
          <w:color w:val="auto"/>
        </w:rPr>
        <w:t xml:space="preserve"> </w:t>
      </w:r>
      <w:r w:rsidR="00E31B89">
        <w:rPr>
          <w:color w:val="auto"/>
        </w:rPr>
        <w:t>Никифорове А.В.,</w:t>
      </w:r>
    </w:p>
    <w:p w:rsidR="00E31B89" w:rsidRPr="00D62136" w:rsidRDefault="00E31B8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адвоката </w:t>
      </w:r>
      <w:r w:rsidR="002F20D0">
        <w:rPr>
          <w:color w:val="auto"/>
        </w:rPr>
        <w:t>М.А</w:t>
      </w:r>
      <w:r>
        <w:rPr>
          <w:color w:val="auto"/>
        </w:rPr>
        <w:t>.В.,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590FC5">
        <w:rPr>
          <w:sz w:val="24"/>
        </w:rPr>
        <w:t>14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887E25">
        <w:rPr>
          <w:sz w:val="24"/>
          <w:szCs w:val="24"/>
        </w:rPr>
        <w:t xml:space="preserve"> </w:t>
      </w:r>
      <w:r w:rsidR="002F20D0">
        <w:rPr>
          <w:sz w:val="24"/>
          <w:szCs w:val="24"/>
        </w:rPr>
        <w:t>Б.</w:t>
      </w:r>
      <w:r w:rsidR="00590FC5">
        <w:rPr>
          <w:sz w:val="24"/>
          <w:szCs w:val="24"/>
        </w:rPr>
        <w:t>М.В.</w:t>
      </w:r>
      <w:r w:rsidR="00A547B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D62136">
        <w:rPr>
          <w:sz w:val="24"/>
          <w:szCs w:val="24"/>
        </w:rPr>
        <w:t xml:space="preserve"> </w:t>
      </w:r>
      <w:r w:rsidR="002F20D0">
        <w:rPr>
          <w:sz w:val="24"/>
          <w:szCs w:val="24"/>
        </w:rPr>
        <w:t>М.</w:t>
      </w:r>
      <w:r w:rsidR="00590FC5">
        <w:rPr>
          <w:sz w:val="24"/>
          <w:szCs w:val="24"/>
        </w:rPr>
        <w:t>А.В.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590FC5" w:rsidRDefault="003070CE" w:rsidP="00AD0BD6">
      <w:pPr>
        <w:jc w:val="both"/>
      </w:pPr>
      <w:r>
        <w:tab/>
      </w:r>
      <w:r w:rsidR="00590FC5">
        <w:t>07</w:t>
      </w:r>
      <w:r>
        <w:t>.</w:t>
      </w:r>
      <w:r w:rsidR="007B20F8">
        <w:t>0</w:t>
      </w:r>
      <w:r w:rsidR="00525B23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7494D">
        <w:t xml:space="preserve"> </w:t>
      </w:r>
      <w:r w:rsidR="002F20D0">
        <w:t>Б.</w:t>
      </w:r>
      <w:r w:rsidR="00590FC5">
        <w:t>М.В.</w:t>
      </w:r>
      <w:r w:rsidR="00887E25">
        <w:t xml:space="preserve"> в отношении адвоката</w:t>
      </w:r>
      <w:r w:rsidR="00A547BF">
        <w:t xml:space="preserve"> </w:t>
      </w:r>
      <w:r w:rsidR="002F20D0">
        <w:t>М.</w:t>
      </w:r>
      <w:r w:rsidR="00590FC5">
        <w:t>А.В.</w:t>
      </w:r>
      <w:r w:rsidR="00B24B50">
        <w:t xml:space="preserve"> </w:t>
      </w:r>
      <w:proofErr w:type="gramStart"/>
      <w:r w:rsidR="00B24B50">
        <w:t>в</w:t>
      </w:r>
      <w:proofErr w:type="gramEnd"/>
      <w:r w:rsidR="00B24B50">
        <w:t xml:space="preserve"> </w:t>
      </w:r>
      <w:proofErr w:type="gramStart"/>
      <w:r w:rsidR="00B24B50">
        <w:t>которой</w:t>
      </w:r>
      <w:proofErr w:type="gramEnd"/>
      <w:r w:rsidR="00B24B50">
        <w:t xml:space="preserve"> </w:t>
      </w:r>
      <w:r w:rsidR="00D62136">
        <w:t xml:space="preserve">заявитель сообщает, что </w:t>
      </w:r>
      <w:r w:rsidR="00590FC5">
        <w:t xml:space="preserve">заявитель проконсультировалась у адвоката относительно возбужденного в отношении неё уголовного дела. Адвокат предложил заключить соглашение и попросил оплатить 20 000 рублей в качестве расходов по поездке в г. </w:t>
      </w:r>
      <w:r w:rsidR="002F20D0">
        <w:t>К.</w:t>
      </w:r>
      <w:r w:rsidR="00590FC5">
        <w:t xml:space="preserve"> (где была встреча с заявителем) и вознаграждения за консультацию. Адвокату были переданы документы, а также заявитель переслала по смс телефон следователя. Больше заявитель адвоката не видела, но впоследствии узнала, что по уголовному делу адвокат представляет лицо, интересы которого противоречат интересам заявителя. </w:t>
      </w:r>
    </w:p>
    <w:p w:rsidR="00590FC5" w:rsidRDefault="00590FC5" w:rsidP="00AD0BD6">
      <w:pPr>
        <w:jc w:val="both"/>
      </w:pPr>
      <w:r>
        <w:tab/>
        <w:t>К жалобе заявителем приложены копии следующих документов:</w:t>
      </w:r>
    </w:p>
    <w:p w:rsidR="00590FC5" w:rsidRDefault="00E31B89" w:rsidP="00E31B89">
      <w:pPr>
        <w:jc w:val="both"/>
      </w:pPr>
      <w:r>
        <w:t xml:space="preserve">- </w:t>
      </w:r>
      <w:r w:rsidR="00590FC5">
        <w:t>переписки с адвокатом (25.07.2018 г. заявитель направляет адвокату телефон следователя и сообщает свои ф.и.</w:t>
      </w:r>
      <w:proofErr w:type="gramStart"/>
      <w:r w:rsidR="00590FC5">
        <w:t>о</w:t>
      </w:r>
      <w:proofErr w:type="gramEnd"/>
      <w:r w:rsidR="00590FC5">
        <w:t xml:space="preserve">., </w:t>
      </w:r>
      <w:r w:rsidR="006412E0">
        <w:t>адвокат сообщает, что он в суде).</w:t>
      </w:r>
    </w:p>
    <w:p w:rsidR="00C82153" w:rsidRDefault="00C82153" w:rsidP="00AD0BD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заявитель обращалась к нему в 2018 г., но её не устроил размер вознаграждения, поэтому соглашение не заключалось, денежные средства адвокату не перечислялись. Адвокат указывает, что его объяснения подтверждаются </w:t>
      </w:r>
      <w:r w:rsidRPr="00CE5E74">
        <w:t xml:space="preserve">постановлением </w:t>
      </w:r>
      <w:r w:rsidR="002F20D0">
        <w:t>Б.</w:t>
      </w:r>
      <w:r w:rsidRPr="00CE5E74">
        <w:t xml:space="preserve"> суда </w:t>
      </w:r>
      <w:r w:rsidR="002F20D0">
        <w:t>К.</w:t>
      </w:r>
      <w:r w:rsidRPr="00CE5E74">
        <w:t xml:space="preserve"> области от 16.12.2020 г.</w:t>
      </w:r>
      <w:r>
        <w:t xml:space="preserve"> которым суд отказал защитнику заявителя – </w:t>
      </w:r>
      <w:r w:rsidR="002F20D0">
        <w:t>Т.</w:t>
      </w:r>
      <w:r>
        <w:t xml:space="preserve">А.А. в ходатайстве об отводе адвоката </w:t>
      </w:r>
      <w:r w:rsidR="002F20D0">
        <w:t>М.</w:t>
      </w:r>
      <w:r>
        <w:t>А.В.</w:t>
      </w:r>
    </w:p>
    <w:p w:rsidR="00C82153" w:rsidRDefault="00C82153" w:rsidP="00AD0BD6">
      <w:pPr>
        <w:jc w:val="both"/>
      </w:pPr>
      <w:r>
        <w:tab/>
      </w:r>
      <w:proofErr w:type="gramStart"/>
      <w:r>
        <w:t xml:space="preserve">К письменным объяснениям адвоката приложена копия постановления </w:t>
      </w:r>
      <w:r w:rsidR="002F20D0">
        <w:t>Б.</w:t>
      </w:r>
      <w:r>
        <w:t xml:space="preserve"> суда </w:t>
      </w:r>
      <w:r w:rsidR="002F20D0">
        <w:t>К.</w:t>
      </w:r>
      <w:r>
        <w:t xml:space="preserve"> области от 16.12.2020 г. (адвокат участвовал в судебном заседании в качестве защитника другого подсудимого, сообщил, что встреча состоялась, но он не консультировал заявителя.</w:t>
      </w:r>
      <w:proofErr w:type="gramEnd"/>
      <w:r>
        <w:t xml:space="preserve"> </w:t>
      </w:r>
      <w:proofErr w:type="gramStart"/>
      <w:r>
        <w:t>Суд отказал в удовлетворении ходатайства об отводе, поскольку не было представлено достоверных доказательств оказания адвокатом заявителю юридической помощи).</w:t>
      </w:r>
      <w:proofErr w:type="gramEnd"/>
    </w:p>
    <w:p w:rsidR="00EC53D6" w:rsidRDefault="00EC53D6" w:rsidP="00EC53D6">
      <w:pPr>
        <w:ind w:firstLine="709"/>
        <w:jc w:val="both"/>
      </w:pPr>
      <w:r>
        <w:t>27.05.2021 г. Комиссией дано заключение</w:t>
      </w:r>
      <w:r w:rsidRPr="008C0D0A">
        <w:rPr>
          <w:rFonts w:eastAsia="Calibri"/>
          <w:color w:val="auto"/>
          <w:szCs w:val="24"/>
        </w:rPr>
        <w:t xml:space="preserve"> 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2F20D0">
        <w:rPr>
          <w:rFonts w:eastAsia="Calibri"/>
          <w:color w:val="auto"/>
          <w:szCs w:val="24"/>
        </w:rPr>
        <w:t>М.</w:t>
      </w:r>
      <w:r>
        <w:rPr>
          <w:rFonts w:eastAsia="Calibri"/>
          <w:color w:val="auto"/>
          <w:szCs w:val="24"/>
        </w:rPr>
        <w:t xml:space="preserve">А.В. ввиду отсутствия </w:t>
      </w:r>
      <w:r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E31B89">
        <w:t xml:space="preserve"> (далее – КПЭА)</w:t>
      </w:r>
      <w:r>
        <w:t xml:space="preserve">, и надлежащем исполнении своих обязанностей перед заявителем </w:t>
      </w:r>
      <w:r w:rsidR="002F20D0">
        <w:t>Б.</w:t>
      </w:r>
      <w:r>
        <w:t>М.В.</w:t>
      </w:r>
    </w:p>
    <w:p w:rsidR="00EC53D6" w:rsidRDefault="00EC53D6" w:rsidP="00EC53D6">
      <w:pPr>
        <w:ind w:firstLine="708"/>
        <w:jc w:val="both"/>
        <w:rPr>
          <w:szCs w:val="24"/>
          <w:lang w:eastAsia="en-US"/>
        </w:rPr>
      </w:pPr>
      <w:r>
        <w:lastRenderedPageBreak/>
        <w:t>Решение</w:t>
      </w:r>
      <w:r w:rsidR="00D20986">
        <w:t>м</w:t>
      </w:r>
      <w:r>
        <w:t xml:space="preserve"> Совета АПМО материалы дисциплинарного производства возвращены в Комиссию на новое рассмотрение. Совет АПМО указал, что </w:t>
      </w:r>
      <w:r>
        <w:rPr>
          <w:szCs w:val="24"/>
          <w:lang w:eastAsia="en-US"/>
        </w:rPr>
        <w:t xml:space="preserve">общение заявителя с адвокатом было непосредственно связано с оказанием юридической помощи </w:t>
      </w:r>
      <w:r w:rsidR="002F20D0">
        <w:rPr>
          <w:szCs w:val="24"/>
          <w:lang w:eastAsia="en-US"/>
        </w:rPr>
        <w:t>Б.</w:t>
      </w:r>
      <w:r>
        <w:rPr>
          <w:szCs w:val="24"/>
          <w:lang w:eastAsia="en-US"/>
        </w:rPr>
        <w:t>М.В. в уголовном судопроизводстве. Обсуждение предмета и условий соглашения, определение размера вознаграждения предполагают получение адвокатом от обратившегося за юридической помощью лица соответствующей информации. При этом значимость сообщённых адвокату сведений подтверждается как заявленным в суде ходатайством об отводе адвоката, так и фактом обращения с жалобой в адвокатскую палату.</w:t>
      </w:r>
    </w:p>
    <w:p w:rsidR="00EC53D6" w:rsidRDefault="00EC53D6" w:rsidP="00EC53D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Несоблюдение требований по надлежащему оформлению адвокатом правоотношений с заявителем (платной консультации, конклюдентного принятия поручения получением телефона следователя) не должно являться препятствием для признания </w:t>
      </w:r>
      <w:r w:rsidR="002F20D0">
        <w:rPr>
          <w:szCs w:val="24"/>
          <w:lang w:eastAsia="en-US"/>
        </w:rPr>
        <w:t>Б.</w:t>
      </w:r>
      <w:r>
        <w:rPr>
          <w:szCs w:val="24"/>
          <w:lang w:eastAsia="en-US"/>
        </w:rPr>
        <w:t>М.В. доверителем. Принятие поручения по защите лица с противоположными интересами является беспринципным и нарушающим требования пп.1 п.1 ст.7 ФЗ «Об адвокатской деятельности и адвокатуре в РФ» и п.1 ст.8 КПЭА.</w:t>
      </w:r>
    </w:p>
    <w:p w:rsidR="00EC53D6" w:rsidRDefault="00EC53D6" w:rsidP="00EC53D6">
      <w:pPr>
        <w:ind w:firstLine="708"/>
        <w:jc w:val="both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 xml:space="preserve">Совет не может согласиться с оценкой квалификационной комиссией правового значения постановления суда, отклонившего ходатайство об отводе адвоката </w:t>
      </w:r>
      <w:r w:rsidR="002F20D0">
        <w:rPr>
          <w:szCs w:val="24"/>
          <w:lang w:eastAsia="en-US"/>
        </w:rPr>
        <w:t>М.</w:t>
      </w:r>
      <w:r>
        <w:rPr>
          <w:szCs w:val="24"/>
          <w:lang w:eastAsia="en-US"/>
        </w:rPr>
        <w:t xml:space="preserve">А.В., ввиду недостаточной </w:t>
      </w:r>
      <w:proofErr w:type="spellStart"/>
      <w:r>
        <w:rPr>
          <w:szCs w:val="24"/>
          <w:lang w:eastAsia="en-US"/>
        </w:rPr>
        <w:t>подтверждённости</w:t>
      </w:r>
      <w:proofErr w:type="spellEnd"/>
      <w:r>
        <w:rPr>
          <w:szCs w:val="24"/>
          <w:lang w:eastAsia="en-US"/>
        </w:rPr>
        <w:t xml:space="preserve"> доводов заявленного ходатайства.</w:t>
      </w:r>
      <w:proofErr w:type="gramEnd"/>
      <w:r>
        <w:rPr>
          <w:szCs w:val="24"/>
          <w:lang w:eastAsia="en-US"/>
        </w:rPr>
        <w:t xml:space="preserve"> Данное постановление не является преюдициально значимым или предопределяющим исход дисциплинарного разбирательства по вопросу соблюдения адвокатом требований специального законодательства и профессиональной этики в отношении недопустимости конфликта интересов или принятия поручения против своего доверителя. При ином подходе любое обращение судьи в отношении адвоката в адвокатскую палату, оформленное в виде судебного акта, априори исключает возможность его проверки или оценки дисциплинарными органами.</w:t>
      </w:r>
    </w:p>
    <w:p w:rsidR="00EC53D6" w:rsidRDefault="00EC53D6" w:rsidP="00EC53D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По обстоятельствам дисциплинарного дела Совет усматривает в действиях адвоката Макарова А.В. признаки оказания юридической помощи в условиях конфликта интересов, недобросовестности в отношении заявителя, злоупотребление сведениями, составляющими адвокатскую тайну и подрыва доверия к адвокату и адвокатуре, в </w:t>
      </w:r>
      <w:proofErr w:type="gramStart"/>
      <w:r>
        <w:rPr>
          <w:szCs w:val="24"/>
          <w:lang w:eastAsia="en-US"/>
        </w:rPr>
        <w:t>связи</w:t>
      </w:r>
      <w:proofErr w:type="gramEnd"/>
      <w:r>
        <w:rPr>
          <w:szCs w:val="24"/>
          <w:lang w:eastAsia="en-US"/>
        </w:rPr>
        <w:t xml:space="preserve"> с чем доводы заявителя требуют проверки по существу безотносительно выводов </w:t>
      </w:r>
      <w:r w:rsidR="002F20D0">
        <w:rPr>
          <w:szCs w:val="24"/>
          <w:lang w:eastAsia="en-US"/>
        </w:rPr>
        <w:t>Б.</w:t>
      </w:r>
      <w:r>
        <w:rPr>
          <w:szCs w:val="24"/>
          <w:lang w:eastAsia="en-US"/>
        </w:rPr>
        <w:t xml:space="preserve"> городского суда </w:t>
      </w:r>
      <w:r w:rsidR="002F20D0">
        <w:rPr>
          <w:szCs w:val="24"/>
          <w:lang w:eastAsia="en-US"/>
        </w:rPr>
        <w:t>К.</w:t>
      </w:r>
      <w:r>
        <w:rPr>
          <w:szCs w:val="24"/>
          <w:lang w:eastAsia="en-US"/>
        </w:rPr>
        <w:t xml:space="preserve"> области в отношении ходатайства об отводе защитника.</w:t>
      </w:r>
    </w:p>
    <w:p w:rsidR="00E31B89" w:rsidRDefault="00E31B89" w:rsidP="00E31B89">
      <w:pPr>
        <w:ind w:firstLine="708"/>
        <w:jc w:val="both"/>
        <w:rPr>
          <w:szCs w:val="24"/>
        </w:rPr>
      </w:pPr>
      <w:r>
        <w:t>Заявитель в заседание Комиссии не яв</w:t>
      </w:r>
      <w:r w:rsidR="00D20986">
        <w:t>илась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извещена надлежащим образом. Поэтому, на основании п. 3 ст. 23 КПЭА,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её</w:t>
      </w:r>
      <w:r w:rsidRPr="00D92F2D">
        <w:rPr>
          <w:szCs w:val="24"/>
        </w:rPr>
        <w:t xml:space="preserve"> отсутствие. </w:t>
      </w:r>
    </w:p>
    <w:p w:rsidR="00E31B89" w:rsidRDefault="00E31B89" w:rsidP="00E31B89">
      <w:pPr>
        <w:ind w:firstLine="708"/>
        <w:jc w:val="both"/>
        <w:rPr>
          <w:szCs w:val="24"/>
        </w:rPr>
      </w:pPr>
      <w:r>
        <w:rPr>
          <w:szCs w:val="24"/>
        </w:rPr>
        <w:t xml:space="preserve">В заседании Комиссии адвокат поддержал доводы, изложенные в письменных объяснениях, дополнительно пояснив, что в 2018 г. у него была одна встреча с заявителем, продолжительностью 5 минут. Она сообщила, что подозревается по ч. 4 ст. 159 УК РФ, адвокат озвучил сумму вознаграждения, её это не </w:t>
      </w:r>
      <w:proofErr w:type="gramStart"/>
      <w:r>
        <w:rPr>
          <w:szCs w:val="24"/>
        </w:rPr>
        <w:t xml:space="preserve">устроило и на </w:t>
      </w:r>
      <w:r w:rsidR="00D20986">
        <w:rPr>
          <w:szCs w:val="24"/>
        </w:rPr>
        <w:t xml:space="preserve">этом </w:t>
      </w:r>
      <w:r>
        <w:rPr>
          <w:szCs w:val="24"/>
        </w:rPr>
        <w:t>общение было</w:t>
      </w:r>
      <w:proofErr w:type="gramEnd"/>
      <w:r>
        <w:rPr>
          <w:szCs w:val="24"/>
        </w:rPr>
        <w:t xml:space="preserve"> окончено. Никаких советов адвокат заявителю не давал и не консультировал её. По уголовному делу проходит 8 человек, в</w:t>
      </w:r>
      <w:r w:rsidR="007B2548">
        <w:rPr>
          <w:szCs w:val="24"/>
        </w:rPr>
        <w:t>се они указывают на свою непричастность к преступлению и перекладывают вину друг на друга</w:t>
      </w:r>
      <w:r>
        <w:rPr>
          <w:szCs w:val="24"/>
        </w:rPr>
        <w:t>.</w:t>
      </w:r>
      <w:r w:rsidR="003C2D7C">
        <w:rPr>
          <w:szCs w:val="24"/>
        </w:rPr>
        <w:t xml:space="preserve"> Адвокат узнал заявителя, но не придал значения тому факту, что ранее она просила принять поручение на защиту.</w:t>
      </w:r>
    </w:p>
    <w:p w:rsidR="00E31B89" w:rsidRDefault="00E31B89" w:rsidP="00E31B89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адвоката</w:t>
      </w:r>
      <w:r w:rsidR="003C2D7C">
        <w:rPr>
          <w:szCs w:val="24"/>
        </w:rPr>
        <w:t xml:space="preserve"> и изучив представленные документы</w:t>
      </w:r>
      <w:r w:rsidR="005908D8">
        <w:rPr>
          <w:szCs w:val="24"/>
        </w:rPr>
        <w:t>, Комиссия приходит к следующим выводам.</w:t>
      </w:r>
    </w:p>
    <w:p w:rsidR="005908D8" w:rsidRDefault="00CE5E74" w:rsidP="0037707D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>. 1 п. 1 ст. 7 ФЗ «Об адвокатской деятельности и адвокатуре в РФ», п. 1 ст. 8 К</w:t>
      </w:r>
      <w:r w:rsidR="005908D8">
        <w:rPr>
          <w:color w:val="auto"/>
          <w:szCs w:val="24"/>
        </w:rPr>
        <w:t>ПЭА</w:t>
      </w:r>
      <w:r>
        <w:rPr>
          <w:color w:val="auto"/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7B2548" w:rsidRDefault="007B2548" w:rsidP="007B2548">
      <w:pPr>
        <w:ind w:firstLine="708"/>
        <w:jc w:val="both"/>
        <w:rPr>
          <w:szCs w:val="24"/>
        </w:rPr>
      </w:pPr>
      <w:r w:rsidRPr="00331526">
        <w:rPr>
          <w:szCs w:val="24"/>
        </w:rPr>
        <w:lastRenderedPageBreak/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</w:t>
      </w:r>
      <w:proofErr w:type="gramStart"/>
      <w:r w:rsidRPr="00331526">
        <w:rPr>
          <w:szCs w:val="24"/>
        </w:rPr>
        <w:t>,</w:t>
      </w:r>
      <w:proofErr w:type="gramEnd"/>
      <w:r w:rsidRPr="00331526">
        <w:rPr>
          <w:szCs w:val="24"/>
        </w:rPr>
        <w:t xml:space="preserve">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7B2548" w:rsidRDefault="007B2548" w:rsidP="0037707D">
      <w:pPr>
        <w:ind w:firstLine="708"/>
        <w:jc w:val="both"/>
      </w:pPr>
      <w:r>
        <w:rPr>
          <w:color w:val="auto"/>
          <w:szCs w:val="24"/>
        </w:rPr>
        <w:t xml:space="preserve">В заседании Комиссии установлено, что адвокат встречался с заявителем в 2018 г. Она просила его осуществлять защиту по уголовному делу, но не согласилась с размером вознаграждения. Адвокату был передан телефон следователя. Доказательств передачи адвокату каких-либо документов Комиссии не представлено. Впоследствии адвокат принял поручение </w:t>
      </w:r>
      <w:r>
        <w:t xml:space="preserve">на защиту другого лица по тому же уголовному делу. </w:t>
      </w:r>
    </w:p>
    <w:p w:rsidR="007B2548" w:rsidRDefault="007B2548" w:rsidP="0037707D">
      <w:pPr>
        <w:ind w:firstLine="708"/>
        <w:jc w:val="both"/>
      </w:pPr>
      <w:r>
        <w:t xml:space="preserve">В силу </w:t>
      </w:r>
      <w:proofErr w:type="spellStart"/>
      <w:r>
        <w:t>пп</w:t>
      </w:r>
      <w:proofErr w:type="spellEnd"/>
      <w:r>
        <w:t>. 10 п. 1 ст. 9 КПЭА, адвокат не вправе оказывать юридическую помощь в условиях конфликта интересов доверителей. Сам фа</w:t>
      </w:r>
      <w:proofErr w:type="gramStart"/>
      <w:r>
        <w:t>кт встр</w:t>
      </w:r>
      <w:proofErr w:type="gramEnd"/>
      <w:r>
        <w:t>ечи адвоката с заявителем и последующее принятие им поручения на защиту иного лица по тому же уголовному делу создаёт сомнение в его принципиальности и подрывает доверие к адвокату и адвокатуре в целом</w:t>
      </w:r>
      <w:r w:rsidR="003C2D7C">
        <w:t xml:space="preserve"> (п. 2 ст. 5 КПЭА)</w:t>
      </w:r>
      <w:r>
        <w:t xml:space="preserve">. Адвокат, установив, что ранее </w:t>
      </w:r>
      <w:r w:rsidR="003C2D7C">
        <w:t>контактировал</w:t>
      </w:r>
      <w:r>
        <w:t xml:space="preserve"> с </w:t>
      </w:r>
      <w:r w:rsidR="003C2D7C">
        <w:t>заявителем, но не принял поручение на его защиту, а впоследствии стал защищать по тому же уголовному делу иного фигуранта, интересы которого противоречат интересам заявителя, должен был расторгнуть соглашение и прекратить своё участие в данном уголовном деле в качестве защитника.</w:t>
      </w:r>
    </w:p>
    <w:p w:rsidR="00A634A6" w:rsidRDefault="00A634A6" w:rsidP="00A634A6">
      <w:pPr>
        <w:ind w:firstLine="708"/>
        <w:jc w:val="both"/>
        <w:rPr>
          <w:color w:val="auto"/>
          <w:szCs w:val="24"/>
        </w:rPr>
      </w:pPr>
      <w:r>
        <w:t xml:space="preserve">Одновременно Комиссия отмечает, что </w:t>
      </w:r>
      <w:r>
        <w:rPr>
          <w:color w:val="auto"/>
          <w:szCs w:val="24"/>
        </w:rPr>
        <w:t xml:space="preserve">из постановления </w:t>
      </w:r>
      <w:r w:rsidR="002F20D0">
        <w:rPr>
          <w:color w:val="auto"/>
          <w:szCs w:val="24"/>
        </w:rPr>
        <w:t>Б.</w:t>
      </w:r>
      <w:r>
        <w:rPr>
          <w:color w:val="auto"/>
          <w:szCs w:val="24"/>
        </w:rPr>
        <w:t xml:space="preserve"> суда </w:t>
      </w:r>
      <w:r w:rsidR="002F20D0">
        <w:rPr>
          <w:color w:val="auto"/>
          <w:szCs w:val="24"/>
        </w:rPr>
        <w:t>К.</w:t>
      </w:r>
      <w:r>
        <w:rPr>
          <w:color w:val="auto"/>
          <w:szCs w:val="24"/>
        </w:rPr>
        <w:t xml:space="preserve"> области от 16.12.2020 следует, что </w:t>
      </w:r>
      <w:r w:rsidRPr="008C0D0A">
        <w:rPr>
          <w:i/>
          <w:iCs/>
          <w:color w:val="auto"/>
          <w:szCs w:val="24"/>
        </w:rPr>
        <w:t xml:space="preserve">«адвокат </w:t>
      </w:r>
      <w:r w:rsidR="002F20D0">
        <w:rPr>
          <w:i/>
          <w:iCs/>
          <w:color w:val="auto"/>
          <w:szCs w:val="24"/>
        </w:rPr>
        <w:t>М.</w:t>
      </w:r>
      <w:r w:rsidRPr="008C0D0A">
        <w:rPr>
          <w:i/>
          <w:iCs/>
          <w:color w:val="auto"/>
          <w:szCs w:val="24"/>
        </w:rPr>
        <w:t xml:space="preserve">А.В. подтвердил, что встреча с </w:t>
      </w:r>
      <w:r w:rsidR="002F20D0">
        <w:rPr>
          <w:i/>
          <w:iCs/>
          <w:color w:val="auto"/>
          <w:szCs w:val="24"/>
        </w:rPr>
        <w:t>Б.</w:t>
      </w:r>
      <w:r w:rsidRPr="008C0D0A">
        <w:rPr>
          <w:i/>
          <w:iCs/>
          <w:color w:val="auto"/>
          <w:szCs w:val="24"/>
        </w:rPr>
        <w:t xml:space="preserve">М.В. состоялась, но консультацию по данному уголовному не оказывал. Из приобщенной переписки следует, что </w:t>
      </w:r>
      <w:proofErr w:type="spellStart"/>
      <w:r w:rsidRPr="008C0D0A">
        <w:rPr>
          <w:i/>
          <w:iCs/>
          <w:color w:val="auto"/>
          <w:szCs w:val="24"/>
        </w:rPr>
        <w:t>Белогурова</w:t>
      </w:r>
      <w:proofErr w:type="spellEnd"/>
      <w:r w:rsidRPr="008C0D0A">
        <w:rPr>
          <w:i/>
          <w:iCs/>
          <w:color w:val="auto"/>
          <w:szCs w:val="24"/>
        </w:rPr>
        <w:t xml:space="preserve"> М.В. предлагала адвокату </w:t>
      </w:r>
      <w:r w:rsidR="002F20D0">
        <w:rPr>
          <w:i/>
          <w:iCs/>
          <w:color w:val="auto"/>
          <w:szCs w:val="24"/>
        </w:rPr>
        <w:t>М.</w:t>
      </w:r>
      <w:r w:rsidRPr="008C0D0A">
        <w:rPr>
          <w:i/>
          <w:iCs/>
          <w:color w:val="auto"/>
          <w:szCs w:val="24"/>
        </w:rPr>
        <w:t xml:space="preserve">А.В. встретиться. Достоверных доказательств того, что адвокат </w:t>
      </w:r>
      <w:r w:rsidR="002F20D0">
        <w:rPr>
          <w:i/>
          <w:iCs/>
          <w:color w:val="auto"/>
          <w:szCs w:val="24"/>
        </w:rPr>
        <w:t>М.</w:t>
      </w:r>
      <w:r w:rsidRPr="008C0D0A">
        <w:rPr>
          <w:i/>
          <w:iCs/>
          <w:color w:val="auto"/>
          <w:szCs w:val="24"/>
        </w:rPr>
        <w:t xml:space="preserve">А.В. оказывал юридическую помощь </w:t>
      </w:r>
      <w:r w:rsidR="002F20D0">
        <w:rPr>
          <w:i/>
          <w:iCs/>
          <w:color w:val="auto"/>
          <w:szCs w:val="24"/>
        </w:rPr>
        <w:t>Б.</w:t>
      </w:r>
      <w:r w:rsidRPr="008C0D0A">
        <w:rPr>
          <w:i/>
          <w:iCs/>
          <w:color w:val="auto"/>
          <w:szCs w:val="24"/>
        </w:rPr>
        <w:t>М.В. по данному уголовному не представлено, а потому суд приходит к выводу о том, что данное обстоятельство является голословным и ничем не подтвержденным»</w:t>
      </w:r>
      <w:r>
        <w:rPr>
          <w:color w:val="auto"/>
          <w:szCs w:val="24"/>
        </w:rPr>
        <w:t>.</w:t>
      </w:r>
    </w:p>
    <w:p w:rsidR="003C2D7C" w:rsidRDefault="00A634A6" w:rsidP="0037707D">
      <w:pPr>
        <w:ind w:firstLine="708"/>
        <w:jc w:val="both"/>
      </w:pPr>
      <w:r>
        <w:t xml:space="preserve">Таким образом, </w:t>
      </w:r>
      <w:r w:rsidR="00E660A3">
        <w:t xml:space="preserve">не затрагивая вопроса </w:t>
      </w:r>
      <w:proofErr w:type="spellStart"/>
      <w:r w:rsidR="00E660A3">
        <w:t>преюдициальности</w:t>
      </w:r>
      <w:proofErr w:type="spellEnd"/>
      <w:r w:rsidR="00E660A3">
        <w:t xml:space="preserve"> данного судебного акта, Комиссия полагает, что </w:t>
      </w:r>
      <w:r>
        <w:t xml:space="preserve">действия адвоката не повлекли нарушения права на защиту заявителя и носили формальный характер. </w:t>
      </w:r>
    </w:p>
    <w:p w:rsidR="009A6639" w:rsidRDefault="009A6639" w:rsidP="001C0825">
      <w:pPr>
        <w:pStyle w:val="a9"/>
        <w:jc w:val="both"/>
        <w:rPr>
          <w:szCs w:val="24"/>
        </w:rPr>
      </w:pPr>
      <w: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7 ФЗ «Об адвокатской деятельности и адвокатуре в РФ», п. 1 ст. 8 КПЭА.</w:t>
      </w:r>
    </w:p>
    <w:p w:rsidR="0037707D" w:rsidRPr="00F6663A" w:rsidRDefault="0037707D" w:rsidP="0037707D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37707D" w:rsidRPr="00F6663A" w:rsidRDefault="0037707D" w:rsidP="0037707D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37707D" w:rsidRPr="00F6663A" w:rsidRDefault="0037707D" w:rsidP="0037707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:rsidR="002F20D0" w:rsidRDefault="002F20D0" w:rsidP="0037707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:rsidR="002F20D0" w:rsidRDefault="0037707D" w:rsidP="002F20D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:rsidR="002F20D0" w:rsidRPr="00F6663A" w:rsidRDefault="002F20D0" w:rsidP="0037707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:rsidR="0037707D" w:rsidRPr="00F6663A" w:rsidRDefault="0037707D" w:rsidP="0037707D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A634A6" w:rsidRDefault="0037707D" w:rsidP="0037707D">
      <w:pPr>
        <w:pStyle w:val="a9"/>
        <w:ind w:firstLine="708"/>
        <w:jc w:val="both"/>
      </w:pPr>
      <w:proofErr w:type="gramStart"/>
      <w:r w:rsidRPr="00F6663A">
        <w:rPr>
          <w:szCs w:val="24"/>
        </w:rPr>
        <w:t>- о н</w:t>
      </w:r>
      <w:r>
        <w:rPr>
          <w:szCs w:val="24"/>
        </w:rPr>
        <w:t xml:space="preserve">аличии в действиях адвоката </w:t>
      </w:r>
      <w:r w:rsidR="002F20D0">
        <w:rPr>
          <w:szCs w:val="24"/>
        </w:rPr>
        <w:t>М.А.В.</w:t>
      </w:r>
      <w:r>
        <w:rPr>
          <w:szCs w:val="24"/>
        </w:rPr>
        <w:t xml:space="preserve"> </w:t>
      </w:r>
      <w:r>
        <w:t xml:space="preserve">нарушения </w:t>
      </w:r>
      <w:r w:rsidR="00A634A6">
        <w:t xml:space="preserve">п. 2 ст. 5, </w:t>
      </w:r>
      <w:proofErr w:type="spellStart"/>
      <w:r w:rsidR="00A634A6">
        <w:t>пп</w:t>
      </w:r>
      <w:proofErr w:type="spellEnd"/>
      <w:r w:rsidR="00A634A6">
        <w:t xml:space="preserve">. 10 п. 1 ст. 9 КПЭА, выразившегося в том, что адвокат, установив, что ранее контактировал с </w:t>
      </w:r>
      <w:r w:rsidR="002F20D0">
        <w:t>Б.</w:t>
      </w:r>
      <w:r w:rsidR="00A634A6">
        <w:t xml:space="preserve">М.В., но не принял поручение на её защиту, впоследствии стал защищать по тому же уголовному делу иного фигуранта, интересы которого противоречат интересам заявителя, </w:t>
      </w:r>
      <w:r w:rsidR="00A634A6">
        <w:lastRenderedPageBreak/>
        <w:t>не предпринял мер по расторжению</w:t>
      </w:r>
      <w:proofErr w:type="gramEnd"/>
      <w:r w:rsidR="00A634A6">
        <w:t xml:space="preserve"> соглашения об оказании юридической помощи и прекращению своего участия в уголовном деле в качестве защитника.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F6" w:rsidRDefault="00871DF6">
      <w:r>
        <w:separator/>
      </w:r>
    </w:p>
  </w:endnote>
  <w:endnote w:type="continuationSeparator" w:id="0">
    <w:p w:rsidR="00871DF6" w:rsidRDefault="0087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F6" w:rsidRDefault="00871DF6">
      <w:r>
        <w:separator/>
      </w:r>
    </w:p>
  </w:footnote>
  <w:footnote w:type="continuationSeparator" w:id="0">
    <w:p w:rsidR="00871DF6" w:rsidRDefault="0087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B80EA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F20D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E35E30"/>
    <w:multiLevelType w:val="hybridMultilevel"/>
    <w:tmpl w:val="5502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3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7"/>
  </w:num>
  <w:num w:numId="21">
    <w:abstractNumId w:val="10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2C0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6BBD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0825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4E5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13A0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20D0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32C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07D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D46"/>
    <w:rsid w:val="003B2E50"/>
    <w:rsid w:val="003B3CE2"/>
    <w:rsid w:val="003B5C58"/>
    <w:rsid w:val="003C231E"/>
    <w:rsid w:val="003C2D7C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B87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3E03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8D8"/>
    <w:rsid w:val="00590AB0"/>
    <w:rsid w:val="00590FC5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12E0"/>
    <w:rsid w:val="006446EA"/>
    <w:rsid w:val="00651916"/>
    <w:rsid w:val="0065242D"/>
    <w:rsid w:val="006527DC"/>
    <w:rsid w:val="00652CAD"/>
    <w:rsid w:val="00652E98"/>
    <w:rsid w:val="00656F2F"/>
    <w:rsid w:val="00664D92"/>
    <w:rsid w:val="006657C0"/>
    <w:rsid w:val="00667347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54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D6FA3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1DF6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0D0A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663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34A6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0EA1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1367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1FE1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11D1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492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2153"/>
    <w:rsid w:val="00C84EB4"/>
    <w:rsid w:val="00C859F8"/>
    <w:rsid w:val="00C86C5B"/>
    <w:rsid w:val="00C92048"/>
    <w:rsid w:val="00C961E3"/>
    <w:rsid w:val="00CA203F"/>
    <w:rsid w:val="00CA4EE5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4890"/>
    <w:rsid w:val="00CC5EC3"/>
    <w:rsid w:val="00CC60CA"/>
    <w:rsid w:val="00CC6242"/>
    <w:rsid w:val="00CD12C3"/>
    <w:rsid w:val="00CD181E"/>
    <w:rsid w:val="00CD2133"/>
    <w:rsid w:val="00CD30AF"/>
    <w:rsid w:val="00CD4255"/>
    <w:rsid w:val="00CD692A"/>
    <w:rsid w:val="00CE0517"/>
    <w:rsid w:val="00CE343D"/>
    <w:rsid w:val="00CE4839"/>
    <w:rsid w:val="00CE5E74"/>
    <w:rsid w:val="00CF20BA"/>
    <w:rsid w:val="00CF28F9"/>
    <w:rsid w:val="00D01786"/>
    <w:rsid w:val="00D04201"/>
    <w:rsid w:val="00D0656E"/>
    <w:rsid w:val="00D11F82"/>
    <w:rsid w:val="00D165AE"/>
    <w:rsid w:val="00D20986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B90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B89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0A3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0AA2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53D6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11C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5908D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B041-2563-4D20-826F-DC956A44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2021-08-30T17:06:00Z</dcterms:created>
  <dcterms:modified xsi:type="dcterms:W3CDTF">2022-03-22T14:42:00Z</dcterms:modified>
</cp:coreProperties>
</file>